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55E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Во времена глобального кризиса коммуникация, доверие, обмен информацией и опытом становятся как никогда важны. Поэтому как холдинг, работающий с большим количеством контента, мы решили рассказать: какие тенденции мы видим на медиарынке; что сейчас делает РБК как бренд. </w:t>
      </w:r>
    </w:p>
    <w:p w14:paraId="756E64A9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u w:val="single"/>
          <w:lang w:eastAsia="ru-RU"/>
        </w:rPr>
        <w:t>Но сперва немного о последних аудиторных данных: </w:t>
      </w:r>
    </w:p>
    <w:p w14:paraId="2718AC78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+ 38 млн человек </w:t>
      </w:r>
      <w:r w:rsidRPr="003575F8">
        <w:rPr>
          <w:rFonts w:ascii="Nunito" w:eastAsia="Times New Roman" w:hAnsi="Nunito"/>
          <w:color w:val="858796"/>
          <w:lang w:eastAsia="ru-RU"/>
        </w:rPr>
        <w:t xml:space="preserve">— рост общей аудитории холдинга (по данным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Mediascope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 за первый квартал 2022 года); </w:t>
      </w:r>
    </w:p>
    <w:p w14:paraId="789D41D8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+ 67% </w:t>
      </w:r>
      <w:r w:rsidRPr="003575F8">
        <w:rPr>
          <w:rFonts w:ascii="Nunito" w:eastAsia="Times New Roman" w:hAnsi="Nunito"/>
          <w:color w:val="858796"/>
          <w:lang w:eastAsia="ru-RU"/>
        </w:rPr>
        <w:t>— увеличение прямого трафика на сайте; </w:t>
      </w:r>
    </w:p>
    <w:p w14:paraId="43F3FBE5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+ 44% </w:t>
      </w:r>
      <w:r w:rsidRPr="003575F8">
        <w:rPr>
          <w:rFonts w:ascii="Nunito" w:eastAsia="Times New Roman" w:hAnsi="Nunito"/>
          <w:color w:val="858796"/>
          <w:lang w:eastAsia="ru-RU"/>
        </w:rPr>
        <w:t>— увеличение времени, проведенного на сайте; </w:t>
      </w:r>
    </w:p>
    <w:p w14:paraId="021366EC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+ 81% </w:t>
      </w:r>
      <w:r w:rsidRPr="003575F8">
        <w:rPr>
          <w:rFonts w:ascii="Nunito" w:eastAsia="Times New Roman" w:hAnsi="Nunito"/>
          <w:color w:val="858796"/>
          <w:lang w:eastAsia="ru-RU"/>
        </w:rPr>
        <w:t>— увеличение времени смотрения телеканала; </w:t>
      </w:r>
    </w:p>
    <w:p w14:paraId="3D602056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NPS 69</w:t>
      </w:r>
      <w:r w:rsidRPr="003575F8">
        <w:rPr>
          <w:rFonts w:ascii="Nunito" w:eastAsia="Times New Roman" w:hAnsi="Nunito"/>
          <w:color w:val="858796"/>
          <w:lang w:eastAsia="ru-RU"/>
        </w:rPr>
        <w:t> — «главный информационный ресурс для меня»; </w:t>
      </w:r>
    </w:p>
    <w:p w14:paraId="2BC54A5A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25 517 991 пользователей</w:t>
      </w:r>
      <w:r w:rsidRPr="003575F8">
        <w:rPr>
          <w:rFonts w:ascii="Nunito" w:eastAsia="Times New Roman" w:hAnsi="Nunito"/>
          <w:color w:val="858796"/>
          <w:lang w:eastAsia="ru-RU"/>
        </w:rPr>
        <w:t> — охват в VK за март; </w:t>
      </w:r>
    </w:p>
    <w:p w14:paraId="4AC237A3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proofErr w:type="gramStart"/>
      <w:r w:rsidRPr="003575F8">
        <w:rPr>
          <w:rFonts w:ascii="Nunito" w:eastAsia="Times New Roman" w:hAnsi="Nunito"/>
          <w:b/>
          <w:bCs/>
          <w:color w:val="858796"/>
          <w:lang w:eastAsia="ru-RU"/>
        </w:rPr>
        <w:t>&lt; 1</w:t>
      </w:r>
      <w:proofErr w:type="gramEnd"/>
      <w:r w:rsidRPr="003575F8">
        <w:rPr>
          <w:rFonts w:ascii="Nunito" w:eastAsia="Times New Roman" w:hAnsi="Nunito"/>
          <w:b/>
          <w:bCs/>
          <w:color w:val="858796"/>
          <w:lang w:eastAsia="ru-RU"/>
        </w:rPr>
        <w:t xml:space="preserve"> млн просмотров </w:t>
      </w:r>
      <w:r w:rsidRPr="003575F8">
        <w:rPr>
          <w:rFonts w:ascii="Nunito" w:eastAsia="Times New Roman" w:hAnsi="Nunito"/>
          <w:color w:val="858796"/>
          <w:lang w:eastAsia="ru-RU"/>
        </w:rPr>
        <w:t xml:space="preserve">— показатели за месяц присутствия на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Rutube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. </w:t>
      </w:r>
    </w:p>
    <w:p w14:paraId="17DD32FF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</w:p>
    <w:p w14:paraId="1BFA1EC1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Новые условия работы с аудиторией и партнерами формируются текущими экономическими реалиями — приостановкой деятельности брендов, изменением покупательной и потребительской способностей на фоне снижения доходов. Сейчас становится очевидным, что стандартные и привычные рекламные форматы больше не работают. Понимание изменившихся запросов рынка помогает нам адаптировать бизнес, поэтому мы хотим рассказать о новых возможностях сотрудничества с нами. </w:t>
      </w:r>
    </w:p>
    <w:p w14:paraId="657A9BD7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u w:val="single"/>
          <w:lang w:eastAsia="ru-RU"/>
        </w:rPr>
        <w:t> Запуск специальных проектов: </w:t>
      </w:r>
    </w:p>
    <w:p w14:paraId="2BB97D1E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Женщины в деле </w:t>
      </w:r>
    </w:p>
    <w:p w14:paraId="0601C4F7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lastRenderedPageBreak/>
        <w:t> Направление тематических проектов и контента, где в роли спикеров и экспертов выступают женщины. </w:t>
      </w:r>
    </w:p>
    <w:p w14:paraId="0CEDDBC6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Основные темы: </w:t>
      </w:r>
    </w:p>
    <w:p w14:paraId="1C14FC92" w14:textId="77777777" w:rsidR="002C7300" w:rsidRPr="003575F8" w:rsidRDefault="002C7300" w:rsidP="002C73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 #Женщины_обсуждают — проект с приглашенными редакторами-героинями на «РБК Стиль». Платформы реализации: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digital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, соцсети, телеканал, пресса, ивент (опционально).</w:t>
      </w:r>
    </w:p>
    <w:p w14:paraId="6C2A2502" w14:textId="77777777" w:rsidR="002C7300" w:rsidRPr="003575F8" w:rsidRDefault="002C7300" w:rsidP="002C73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#Женщины_инвестируют — офлайн-ивент, телеканал,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digital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, </w:t>
      </w:r>
      <w:proofErr w:type="gramStart"/>
      <w:r w:rsidRPr="003575F8">
        <w:rPr>
          <w:rFonts w:ascii="Nunito" w:eastAsia="Times New Roman" w:hAnsi="Nunito"/>
          <w:color w:val="858796"/>
          <w:lang w:eastAsia="ru-RU"/>
        </w:rPr>
        <w:t>соцсети.(</w:t>
      </w:r>
      <w:proofErr w:type="gramEnd"/>
      <w:r w:rsidRPr="003575F8">
        <w:rPr>
          <w:rFonts w:ascii="Nunito" w:eastAsia="Times New Roman" w:hAnsi="Nunito"/>
          <w:color w:val="858796"/>
          <w:lang w:eastAsia="ru-RU"/>
        </w:rPr>
        <w:t>Спонсорство сразу двух направлений) </w:t>
      </w:r>
    </w:p>
    <w:p w14:paraId="27DAB1DE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hyperlink r:id="rId8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 Подробнее о проекте </w:t>
        </w:r>
      </w:hyperlink>
    </w:p>
    <w:p w14:paraId="0BE65A1C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Лучшие отели России </w:t>
      </w:r>
    </w:p>
    <w:p w14:paraId="1F1B8A17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Совместный проект «РБК Стиль» по поиску лучших люксовых и премиальных отелей, полезные материалы о путешествиях — подборки,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travel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-гиды, знакомство с регионами. </w:t>
      </w:r>
    </w:p>
    <w:p w14:paraId="7E8D4462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hyperlink r:id="rId9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Подробнее о проекте </w:t>
        </w:r>
      </w:hyperlink>
    </w:p>
    <w:p w14:paraId="0C854E01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u w:val="single"/>
          <w:lang w:eastAsia="ru-RU"/>
        </w:rPr>
        <w:t>Проект «Новая экономика» </w:t>
      </w:r>
    </w:p>
    <w:p w14:paraId="710E2D24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Рассказываем об адаптации бизнеса, общества и государства к новой реальности.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Кейcы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, интервью с экспертами рынка и инсайты теперь в одном разделе. </w:t>
      </w:r>
    </w:p>
    <w:p w14:paraId="47E6A16F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Возможность дистрибуции в формате 360°: </w:t>
      </w:r>
    </w:p>
    <w:p w14:paraId="75CBF3C4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Лента новостей (rbc.ru) </w:t>
      </w:r>
    </w:p>
    <w:p w14:paraId="2C539B3E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Центральная колонка (rbc.ru) </w:t>
      </w:r>
    </w:p>
    <w:p w14:paraId="1E7768E0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Карточки на главной (rbc.ru) </w:t>
      </w:r>
    </w:p>
    <w:p w14:paraId="65FF1A90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Баннерная реклама </w:t>
      </w:r>
    </w:p>
    <w:p w14:paraId="06AAE134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Социальные сети (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редистрибуция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: ВК, ОК, «Яндекс.Дзен»,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RuTube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,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Telegram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) </w:t>
      </w:r>
    </w:p>
    <w:p w14:paraId="648E4807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Постоянная точка входа в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топлайне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 </w:t>
      </w:r>
    </w:p>
    <w:p w14:paraId="416E20F7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РБК. Главное </w:t>
      </w:r>
    </w:p>
    <w:p w14:paraId="38F37734" w14:textId="77777777" w:rsidR="002C7300" w:rsidRPr="003575F8" w:rsidRDefault="002C7300" w:rsidP="002C7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Постоянный блок на главной (по аналогии с ПМЭФ) </w:t>
      </w:r>
    </w:p>
    <w:p w14:paraId="6F30C6B3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hyperlink r:id="rId10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 Подробнее о проекте </w:t>
        </w:r>
      </w:hyperlink>
    </w:p>
    <w:p w14:paraId="3D43C5CD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lastRenderedPageBreak/>
        <w:t> </w:t>
      </w:r>
      <w:r w:rsidRPr="003575F8">
        <w:rPr>
          <w:rFonts w:ascii="Nunito" w:eastAsia="Times New Roman" w:hAnsi="Nunito"/>
          <w:b/>
          <w:bCs/>
          <w:color w:val="858796"/>
          <w:u w:val="single"/>
          <w:lang w:eastAsia="ru-RU"/>
        </w:rPr>
        <w:t>«РБК Тренды» </w:t>
      </w:r>
    </w:p>
    <w:p w14:paraId="6C081E37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  <w:r w:rsidRPr="003575F8">
        <w:rPr>
          <w:rFonts w:ascii="Nunito" w:eastAsia="Times New Roman" w:hAnsi="Nunito"/>
          <w:b/>
          <w:bCs/>
          <w:color w:val="858796"/>
          <w:lang w:eastAsia="ru-RU"/>
        </w:rPr>
        <w:t>«КОРОЧЕ» </w:t>
      </w:r>
    </w:p>
    <w:p w14:paraId="0E7C0E88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Только самое важное о трендах и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трендвотчинге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 — отвечаем кратко на актуальные вопросы. </w:t>
      </w:r>
    </w:p>
    <w:p w14:paraId="48463645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Платформы реализации: </w:t>
      </w:r>
    </w:p>
    <w:p w14:paraId="489CDE1E" w14:textId="77777777" w:rsidR="002C7300" w:rsidRPr="003575F8" w:rsidRDefault="002C7300" w:rsidP="002C73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короткие материалы в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digital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 (</w:t>
      </w:r>
      <w:hyperlink r:id="rId11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пример проекта</w:t>
        </w:r>
      </w:hyperlink>
      <w:r w:rsidRPr="003575F8">
        <w:rPr>
          <w:rFonts w:ascii="Nunito" w:eastAsia="Times New Roman" w:hAnsi="Nunito"/>
          <w:color w:val="858796"/>
          <w:lang w:eastAsia="ru-RU"/>
        </w:rPr>
        <w:t>) </w:t>
      </w:r>
    </w:p>
    <w:p w14:paraId="4501F1B3" w14:textId="77777777" w:rsidR="002C7300" w:rsidRPr="003575F8" w:rsidRDefault="002C7300" w:rsidP="002C73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графический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эксплейнер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 (ТВ/видеохостинги) (</w:t>
      </w:r>
      <w:hyperlink r:id="rId12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пример проекта</w:t>
        </w:r>
      </w:hyperlink>
      <w:r w:rsidRPr="003575F8">
        <w:rPr>
          <w:rFonts w:ascii="Nunito" w:eastAsia="Times New Roman" w:hAnsi="Nunito"/>
          <w:color w:val="858796"/>
          <w:lang w:eastAsia="ru-RU"/>
        </w:rPr>
        <w:t>) </w:t>
      </w:r>
    </w:p>
    <w:p w14:paraId="76A240D5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Видеоформат «Смотрим как» </w:t>
      </w:r>
    </w:p>
    <w:p w14:paraId="499E1F4B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Рассказываем о производстве и процессе создания продукта от и до. (</w:t>
      </w:r>
      <w:hyperlink r:id="rId13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пример проекта</w:t>
        </w:r>
      </w:hyperlink>
      <w:r w:rsidRPr="003575F8">
        <w:rPr>
          <w:rFonts w:ascii="Nunito" w:eastAsia="Times New Roman" w:hAnsi="Nunito"/>
          <w:color w:val="858796"/>
          <w:lang w:eastAsia="ru-RU"/>
        </w:rPr>
        <w:t>) </w:t>
      </w:r>
    </w:p>
    <w:p w14:paraId="52235A16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u w:val="single"/>
          <w:lang w:eastAsia="ru-RU"/>
        </w:rPr>
        <w:t>Карточки на главной </w:t>
      </w:r>
    </w:p>
    <w:p w14:paraId="3143CFAA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Контентный имиджевый проект, реализуется в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спецвиджете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 на главной странице РБК: </w:t>
      </w:r>
    </w:p>
    <w:p w14:paraId="11828627" w14:textId="77777777" w:rsidR="002C7300" w:rsidRPr="003575F8" w:rsidRDefault="002C7300" w:rsidP="002C73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видеоформат из четырех роликов, раскрывающих каждый из аспектов темы; </w:t>
      </w:r>
    </w:p>
    <w:p w14:paraId="57612E07" w14:textId="77777777" w:rsidR="002C7300" w:rsidRPr="003575F8" w:rsidRDefault="002C7300" w:rsidP="002C73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формат «Узнать за 60 секунд»; </w:t>
      </w:r>
    </w:p>
    <w:p w14:paraId="462FB4A9" w14:textId="77777777" w:rsidR="002C7300" w:rsidRPr="003575F8" w:rsidRDefault="002C7300" w:rsidP="002C73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digital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-версия в виде серии коротких вопросов и ответов. </w:t>
      </w:r>
    </w:p>
    <w:p w14:paraId="2F328360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hyperlink r:id="rId14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 Подробнее о проекте </w:t>
        </w:r>
      </w:hyperlink>
    </w:p>
    <w:p w14:paraId="3FE6B465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Работая с большим количеством контента, мы хотим также поделиться с вами исследованиями, которые показались нам интересными, и рекомендациями экспертов по коммуникации в рецессию: </w:t>
      </w:r>
    </w:p>
    <w:p w14:paraId="10A35B37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val="en-US"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  <w:hyperlink r:id="rId15" w:tgtFrame="_blank" w:history="1">
        <w:r w:rsidRPr="003575F8">
          <w:rPr>
            <w:rFonts w:ascii="Nunito" w:eastAsia="Times New Roman" w:hAnsi="Nunito"/>
            <w:color w:val="4E73DF"/>
            <w:u w:val="single"/>
            <w:lang w:val="en-US" w:eastAsia="ru-RU"/>
          </w:rPr>
          <w:t>Marketing in a time of a crisis – getting ready for the rebound </w:t>
        </w:r>
      </w:hyperlink>
    </w:p>
    <w:p w14:paraId="65EEFC42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val="en-US" w:eastAsia="ru-RU"/>
        </w:rPr>
      </w:pPr>
      <w:r w:rsidRPr="003575F8">
        <w:rPr>
          <w:rFonts w:ascii="Nunito" w:eastAsia="Times New Roman" w:hAnsi="Nunito"/>
          <w:color w:val="858796"/>
          <w:lang w:val="en-US" w:eastAsia="ru-RU"/>
        </w:rPr>
        <w:t> </w:t>
      </w:r>
      <w:hyperlink r:id="rId16" w:tgtFrame="_blank" w:history="1">
        <w:r w:rsidRPr="003575F8">
          <w:rPr>
            <w:rFonts w:ascii="Nunito" w:eastAsia="Times New Roman" w:hAnsi="Nunito"/>
            <w:color w:val="4E73DF"/>
            <w:u w:val="single"/>
            <w:lang w:val="en-US" w:eastAsia="ru-RU"/>
          </w:rPr>
          <w:t>Advertising in recession long short or dark </w:t>
        </w:r>
      </w:hyperlink>
    </w:p>
    <w:p w14:paraId="1C50616C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val="en-US" w:eastAsia="ru-RU"/>
        </w:rPr>
      </w:pPr>
      <w:r w:rsidRPr="003575F8">
        <w:rPr>
          <w:rFonts w:ascii="Nunito" w:eastAsia="Times New Roman" w:hAnsi="Nunito"/>
          <w:color w:val="858796"/>
          <w:lang w:val="en-US" w:eastAsia="ru-RU"/>
        </w:rPr>
        <w:t> </w:t>
      </w:r>
      <w:hyperlink r:id="rId17" w:tgtFrame="_blank" w:history="1">
        <w:r w:rsidRPr="003575F8">
          <w:rPr>
            <w:rFonts w:ascii="Nunito" w:eastAsia="Times New Roman" w:hAnsi="Nunito"/>
            <w:color w:val="4E73DF"/>
            <w:u w:val="single"/>
            <w:lang w:val="en-US" w:eastAsia="ru-RU"/>
          </w:rPr>
          <w:t>Myths on marketing in recession </w:t>
        </w:r>
      </w:hyperlink>
    </w:p>
    <w:p w14:paraId="52B61FDC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val="en-US" w:eastAsia="ru-RU"/>
        </w:rPr>
      </w:pPr>
      <w:r w:rsidRPr="003575F8">
        <w:rPr>
          <w:rFonts w:ascii="Nunito" w:eastAsia="Times New Roman" w:hAnsi="Nunito"/>
          <w:color w:val="858796"/>
          <w:lang w:val="en-US" w:eastAsia="ru-RU"/>
        </w:rPr>
        <w:lastRenderedPageBreak/>
        <w:t> </w:t>
      </w:r>
      <w:hyperlink r:id="rId18" w:tgtFrame="_blank" w:history="1">
        <w:r w:rsidRPr="003575F8">
          <w:rPr>
            <w:rFonts w:ascii="Nunito" w:eastAsia="Times New Roman" w:hAnsi="Nunito"/>
            <w:color w:val="4E73DF"/>
            <w:u w:val="single"/>
            <w:lang w:val="en-US" w:eastAsia="ru-RU"/>
          </w:rPr>
          <w:t>Peter Field’s seven lessons for advertising during a recession </w:t>
        </w:r>
      </w:hyperlink>
    </w:p>
    <w:p w14:paraId="2FF11A88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u w:val="single"/>
          <w:lang w:eastAsia="ru-RU"/>
        </w:rPr>
        <w:t>Что говорят специалисты: </w:t>
      </w:r>
    </w:p>
    <w:p w14:paraId="4F93A48E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Не отказывайтесь от рекламы бренда, если только от этого не зависит краткосрочное выживание. </w:t>
      </w:r>
    </w:p>
    <w:p w14:paraId="6E1CAA8F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Сопротивляйтесь давлению, направленному на переключение рекламных расходов с рекламы бренда на активацию, — в этом мало смысла даже в краткосрочной перспективе. Клиенты во многих случаях не отказываются покупать — они не могут покупать. </w:t>
      </w:r>
    </w:p>
    <w:p w14:paraId="5CC81B05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По возможности стремитесь сохранить свою долю голоса, по крайней мере на уровне вашей доли рынка, где SOV равна SOM. </w:t>
      </w:r>
    </w:p>
    <w:p w14:paraId="03C17E63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Если есть ресурсы, рассмотрите возможность инвестировать в долгосрочный рост с меньшими затратами путем увеличения доли голоса во время рецессии. </w:t>
      </w:r>
    </w:p>
    <w:p w14:paraId="311A6133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Не отказывайтесь от существующей кампании бренда, если она не соответствует настроениям клиентов. Преемственность может иметь больше ценности и уверенности, чем изменения. </w:t>
      </w:r>
    </w:p>
    <w:p w14:paraId="5C0FB512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Не бойтесь использовать эмоциональную рекламу бренда во время рецессии, но убедитесь, что она соответствует настроению покупателей. </w:t>
      </w:r>
    </w:p>
    <w:p w14:paraId="61A261AF" w14:textId="77777777" w:rsidR="002C7300" w:rsidRPr="003575F8" w:rsidRDefault="002C7300" w:rsidP="002C73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Ищите тактические возможности для создания доброжелательности через акты гуманности и щедрости, особенно если вы провозглашали эти достоинства до чрезвычайной ситуации. </w:t>
      </w:r>
    </w:p>
    <w:p w14:paraId="2D8A50DD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Новостной контент (и не только он) сейчас в центре внимания. Аудитория стремится быть в курсе последних событий, а также находится в поиске экспертных мнений. Учитывая количество фейков в Сети, все больше пользователей ограничивают число каналов потребления и прибегают к достоверным источникам информации. </w:t>
      </w:r>
    </w:p>
    <w:p w14:paraId="2E4D0368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+ 225%</w:t>
      </w:r>
      <w:r w:rsidRPr="003575F8">
        <w:rPr>
          <w:rFonts w:ascii="Nunito" w:eastAsia="Times New Roman" w:hAnsi="Nunito"/>
          <w:color w:val="858796"/>
          <w:lang w:eastAsia="ru-RU"/>
        </w:rPr>
        <w:t> — рост среднесуточной аудитории РБК (Главная + Новости) за год. </w:t>
      </w:r>
    </w:p>
    <w:p w14:paraId="5B886D71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77% и 90% </w:t>
      </w:r>
      <w:r w:rsidRPr="003575F8">
        <w:rPr>
          <w:rFonts w:ascii="Nunito" w:eastAsia="Times New Roman" w:hAnsi="Nunito"/>
          <w:color w:val="858796"/>
          <w:lang w:eastAsia="ru-RU"/>
        </w:rPr>
        <w:t>— рост аудитории «Ленты» и «РИА Новости» за год соответственно. </w:t>
      </w:r>
    </w:p>
    <w:p w14:paraId="1BDB7EE4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2–3-кратный рост</w:t>
      </w:r>
      <w:r w:rsidRPr="003575F8">
        <w:rPr>
          <w:rFonts w:ascii="Nunito" w:eastAsia="Times New Roman" w:hAnsi="Nunito"/>
          <w:color w:val="858796"/>
          <w:lang w:eastAsia="ru-RU"/>
        </w:rPr>
        <w:t> количества просмотров видео на сайте РБК (включая прямой эфир и конкретные видео). </w:t>
      </w:r>
    </w:p>
    <w:p w14:paraId="4E9FA773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+ 1000% к среднему показателю </w:t>
      </w:r>
      <w:r w:rsidRPr="003575F8">
        <w:rPr>
          <w:rFonts w:ascii="Nunito" w:eastAsia="Times New Roman" w:hAnsi="Nunito"/>
          <w:color w:val="858796"/>
          <w:lang w:eastAsia="ru-RU"/>
        </w:rPr>
        <w:t>— рост количества просмотров видео в YouTube (итоги по результатам последней недели перед блокировкой канала). </w:t>
      </w:r>
    </w:p>
    <w:p w14:paraId="5DE7D093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lastRenderedPageBreak/>
        <w:br/>
      </w:r>
    </w:p>
    <w:p w14:paraId="21398387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b/>
          <w:bCs/>
          <w:color w:val="858796"/>
          <w:lang w:eastAsia="ru-RU"/>
        </w:rPr>
        <w:t>Самые популярные материалы на РБК набирают рекордное количество просмотров: </w:t>
      </w:r>
    </w:p>
    <w:p w14:paraId="367789A4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hyperlink r:id="rId19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 Военная операция на Украине. Главное </w:t>
        </w:r>
      </w:hyperlink>
    </w:p>
    <w:p w14:paraId="22E829E1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  <w:hyperlink r:id="rId20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Военная операция на Украине. Онлайн </w:t>
        </w:r>
      </w:hyperlink>
    </w:p>
    <w:p w14:paraId="3F9B5349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  <w:hyperlink r:id="rId21" w:tgtFrame="_blank" w:history="1">
        <w:r w:rsidRPr="003575F8">
          <w:rPr>
            <w:rFonts w:ascii="Nunito" w:eastAsia="Times New Roman" w:hAnsi="Nunito"/>
            <w:color w:val="4E73DF"/>
            <w:u w:val="single"/>
            <w:lang w:eastAsia="ru-RU"/>
          </w:rPr>
          <w:t>Пандемия коронавируса </w:t>
        </w:r>
      </w:hyperlink>
    </w:p>
    <w:p w14:paraId="44D6FA5A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br/>
      </w:r>
    </w:p>
    <w:p w14:paraId="064F1894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Как вы знаете, даже в самые трудные времена РБК делает все возможное для того, чтобы аудитория и партнеры получали достоверную информацию о политических и экономических событиях в России и мире. Наш базовый принцип — слышать разные точки зрения. Тем приятнее делиться с вами нашей мотивацией — реальной обратной связью пользователей, подтверждающей работу постулата нейтральности. </w:t>
      </w:r>
    </w:p>
    <w:p w14:paraId="236E9CFD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Евгений Вольский: «Держитесь! Вы молодцы, читаю вас из Украины. Хоть и соблюдаете формально все правила цензуры, но стараетесь осветить по максимуму из того, что можно». </w:t>
      </w:r>
    </w:p>
    <w:p w14:paraId="65896ABA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 xml:space="preserve"> Сергей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Влок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: «РБК и «Коммерсантъ» — единственные независимые СМИ, другие представляют чьи-то интересы, я вас называю «холодные головы». Это комплимент». </w:t>
      </w:r>
    </w:p>
    <w:p w14:paraId="63D05316" w14:textId="77777777" w:rsidR="002C7300" w:rsidRPr="003575F8" w:rsidRDefault="002C7300" w:rsidP="002C7300">
      <w:pPr>
        <w:spacing w:after="100" w:afterAutospacing="1"/>
        <w:rPr>
          <w:rFonts w:ascii="Nunito" w:eastAsia="Times New Roman" w:hAnsi="Nunito"/>
          <w:color w:val="858796"/>
          <w:lang w:eastAsia="ru-RU"/>
        </w:rPr>
      </w:pPr>
      <w:r w:rsidRPr="003575F8">
        <w:rPr>
          <w:rFonts w:ascii="Nunito" w:eastAsia="Times New Roman" w:hAnsi="Nunito"/>
          <w:color w:val="858796"/>
          <w:lang w:eastAsia="ru-RU"/>
        </w:rPr>
        <w:t> 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Arti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 xml:space="preserve"> </w:t>
      </w:r>
      <w:proofErr w:type="spellStart"/>
      <w:r w:rsidRPr="003575F8">
        <w:rPr>
          <w:rFonts w:ascii="Nunito" w:eastAsia="Times New Roman" w:hAnsi="Nunito"/>
          <w:color w:val="858796"/>
          <w:lang w:eastAsia="ru-RU"/>
        </w:rPr>
        <w:t>Brylskoff</w:t>
      </w:r>
      <w:proofErr w:type="spellEnd"/>
      <w:r w:rsidRPr="003575F8">
        <w:rPr>
          <w:rFonts w:ascii="Nunito" w:eastAsia="Times New Roman" w:hAnsi="Nunito"/>
          <w:color w:val="858796"/>
          <w:lang w:eastAsia="ru-RU"/>
        </w:rPr>
        <w:t>: «Держитесь. Единственные, кто освещает все это без эмоционального контекста».      </w:t>
      </w:r>
    </w:p>
    <w:p w14:paraId="4A1053F3" w14:textId="77777777" w:rsidR="002C7300" w:rsidRPr="003575F8" w:rsidRDefault="002C7300" w:rsidP="002C7300"/>
    <w:p w14:paraId="180A417F" w14:textId="69BE80D3" w:rsidR="001D497A" w:rsidRPr="003039D3" w:rsidRDefault="001D497A" w:rsidP="003039D3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sectPr w:rsidR="001D497A" w:rsidRPr="003039D3" w:rsidSect="005E5DC9">
      <w:headerReference w:type="default" r:id="rId2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D1F9" w14:textId="77777777" w:rsidR="00BF39DF" w:rsidRDefault="00BF39DF" w:rsidP="00071E61">
      <w:pPr>
        <w:spacing w:after="0" w:line="240" w:lineRule="auto"/>
      </w:pPr>
      <w:r>
        <w:separator/>
      </w:r>
    </w:p>
  </w:endnote>
  <w:endnote w:type="continuationSeparator" w:id="0">
    <w:p w14:paraId="2ED92790" w14:textId="77777777" w:rsidR="00BF39DF" w:rsidRDefault="00BF39DF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B073" w14:textId="77777777" w:rsidR="00BF39DF" w:rsidRDefault="00BF39DF" w:rsidP="00071E61">
      <w:pPr>
        <w:spacing w:after="0" w:line="240" w:lineRule="auto"/>
      </w:pPr>
      <w:r>
        <w:separator/>
      </w:r>
    </w:p>
  </w:footnote>
  <w:footnote w:type="continuationSeparator" w:id="0">
    <w:p w14:paraId="4A09C958" w14:textId="77777777" w:rsidR="00BF39DF" w:rsidRDefault="00BF39DF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C6D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FFF47" wp14:editId="4E10ED3B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2FA7B046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4F223CA1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F7CC61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20C8B694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4F110B3B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5BE8AA80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07E1E910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00B6C842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7F2D3D5A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436669"/>
    <w:multiLevelType w:val="multilevel"/>
    <w:tmpl w:val="1B4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1113F"/>
    <w:multiLevelType w:val="multilevel"/>
    <w:tmpl w:val="9934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FC1268"/>
    <w:multiLevelType w:val="multilevel"/>
    <w:tmpl w:val="97D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F4760"/>
    <w:multiLevelType w:val="multilevel"/>
    <w:tmpl w:val="06E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A2926"/>
    <w:multiLevelType w:val="multilevel"/>
    <w:tmpl w:val="A5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7595893">
    <w:abstractNumId w:val="0"/>
  </w:num>
  <w:num w:numId="2" w16cid:durableId="109395555">
    <w:abstractNumId w:val="17"/>
  </w:num>
  <w:num w:numId="3" w16cid:durableId="1685979569">
    <w:abstractNumId w:val="1"/>
  </w:num>
  <w:num w:numId="4" w16cid:durableId="671031491">
    <w:abstractNumId w:val="2"/>
  </w:num>
  <w:num w:numId="5" w16cid:durableId="1612780265">
    <w:abstractNumId w:val="3"/>
  </w:num>
  <w:num w:numId="6" w16cid:durableId="1704557088">
    <w:abstractNumId w:val="4"/>
  </w:num>
  <w:num w:numId="7" w16cid:durableId="1284505691">
    <w:abstractNumId w:val="9"/>
  </w:num>
  <w:num w:numId="8" w16cid:durableId="1629356095">
    <w:abstractNumId w:val="5"/>
  </w:num>
  <w:num w:numId="9" w16cid:durableId="672148514">
    <w:abstractNumId w:val="6"/>
  </w:num>
  <w:num w:numId="10" w16cid:durableId="719865814">
    <w:abstractNumId w:val="7"/>
  </w:num>
  <w:num w:numId="11" w16cid:durableId="449785988">
    <w:abstractNumId w:val="8"/>
  </w:num>
  <w:num w:numId="12" w16cid:durableId="2037073336">
    <w:abstractNumId w:val="10"/>
  </w:num>
  <w:num w:numId="13" w16cid:durableId="1137188503">
    <w:abstractNumId w:val="13"/>
  </w:num>
  <w:num w:numId="14" w16cid:durableId="1584101785">
    <w:abstractNumId w:val="18"/>
  </w:num>
  <w:num w:numId="15" w16cid:durableId="1484814047">
    <w:abstractNumId w:val="12"/>
  </w:num>
  <w:num w:numId="16" w16cid:durableId="585647558">
    <w:abstractNumId w:val="14"/>
  </w:num>
  <w:num w:numId="17" w16cid:durableId="1952736064">
    <w:abstractNumId w:val="16"/>
  </w:num>
  <w:num w:numId="18" w16cid:durableId="1516648804">
    <w:abstractNumId w:val="11"/>
  </w:num>
  <w:num w:numId="19" w16cid:durableId="20794749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A465F"/>
    <w:rsid w:val="000F30B3"/>
    <w:rsid w:val="000F7B8F"/>
    <w:rsid w:val="00105D45"/>
    <w:rsid w:val="0011714C"/>
    <w:rsid w:val="00126F88"/>
    <w:rsid w:val="00127280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C7300"/>
    <w:rsid w:val="002D52E7"/>
    <w:rsid w:val="002D5D3D"/>
    <w:rsid w:val="002F6F4E"/>
    <w:rsid w:val="00300E2C"/>
    <w:rsid w:val="003039D3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02F85"/>
    <w:rsid w:val="004135A4"/>
    <w:rsid w:val="004528C4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BAE"/>
    <w:rsid w:val="00553F90"/>
    <w:rsid w:val="005D5E9F"/>
    <w:rsid w:val="005E5DC9"/>
    <w:rsid w:val="006273C9"/>
    <w:rsid w:val="00647E36"/>
    <w:rsid w:val="00664893"/>
    <w:rsid w:val="0069643E"/>
    <w:rsid w:val="006C2516"/>
    <w:rsid w:val="006D0A21"/>
    <w:rsid w:val="006E3466"/>
    <w:rsid w:val="006F19A4"/>
    <w:rsid w:val="006F3B55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A0F92"/>
    <w:rsid w:val="008A20F0"/>
    <w:rsid w:val="008B4CC1"/>
    <w:rsid w:val="008D5E2B"/>
    <w:rsid w:val="008E35F4"/>
    <w:rsid w:val="0092002A"/>
    <w:rsid w:val="00936389"/>
    <w:rsid w:val="00941C96"/>
    <w:rsid w:val="00955120"/>
    <w:rsid w:val="009556B3"/>
    <w:rsid w:val="00964888"/>
    <w:rsid w:val="00994C2F"/>
    <w:rsid w:val="009A0F88"/>
    <w:rsid w:val="009A66A3"/>
    <w:rsid w:val="009B34EA"/>
    <w:rsid w:val="009D4849"/>
    <w:rsid w:val="009E6C3A"/>
    <w:rsid w:val="00A022EE"/>
    <w:rsid w:val="00A11539"/>
    <w:rsid w:val="00A26920"/>
    <w:rsid w:val="00A31002"/>
    <w:rsid w:val="00A34798"/>
    <w:rsid w:val="00A41B8D"/>
    <w:rsid w:val="00A55C9E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24D2"/>
    <w:rsid w:val="00B33A7D"/>
    <w:rsid w:val="00B3586F"/>
    <w:rsid w:val="00B758EB"/>
    <w:rsid w:val="00BB23F1"/>
    <w:rsid w:val="00BE44BE"/>
    <w:rsid w:val="00BF39DF"/>
    <w:rsid w:val="00C02636"/>
    <w:rsid w:val="00C254BE"/>
    <w:rsid w:val="00C258BB"/>
    <w:rsid w:val="00C65EFB"/>
    <w:rsid w:val="00C74A0E"/>
    <w:rsid w:val="00C77F57"/>
    <w:rsid w:val="00CC3178"/>
    <w:rsid w:val="00CD0A4A"/>
    <w:rsid w:val="00CF3552"/>
    <w:rsid w:val="00D17A7C"/>
    <w:rsid w:val="00D4243A"/>
    <w:rsid w:val="00D823CD"/>
    <w:rsid w:val="00D97487"/>
    <w:rsid w:val="00DB0785"/>
    <w:rsid w:val="00DF2AB9"/>
    <w:rsid w:val="00DF42A7"/>
    <w:rsid w:val="00DF4793"/>
    <w:rsid w:val="00E11A96"/>
    <w:rsid w:val="00E327B9"/>
    <w:rsid w:val="00E37274"/>
    <w:rsid w:val="00E606C6"/>
    <w:rsid w:val="00E61D6E"/>
    <w:rsid w:val="00E66CA7"/>
    <w:rsid w:val="00E821CF"/>
    <w:rsid w:val="00E86A02"/>
    <w:rsid w:val="00E97C04"/>
    <w:rsid w:val="00ED04D7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0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9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A4XVIfw5GOfMA" TargetMode="External"/><Relationship Id="rId13" Type="http://schemas.openxmlformats.org/officeDocument/2006/relationships/hyperlink" Target="https://www.youtube.com/watch?v=wSPuoSkYaq8" TargetMode="External"/><Relationship Id="rId18" Type="http://schemas.openxmlformats.org/officeDocument/2006/relationships/hyperlink" Target="https://ipa.co.uk/news/peter-field-s-seven-lessons-for-advertising-during-a-recess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c.ru/story/5e2881539a794724ab627ca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XqT0U8qaQc" TargetMode="External"/><Relationship Id="rId17" Type="http://schemas.openxmlformats.org/officeDocument/2006/relationships/hyperlink" Target="https://analyticdashboards.wordpress.com/2020/04/10/myths-on-marketing-in-recess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business/marketing/blog/linkedin-ads/advertising-in-recession-long-short-or-dark" TargetMode="External"/><Relationship Id="rId20" Type="http://schemas.openxmlformats.org/officeDocument/2006/relationships/hyperlink" Target="https://www.rbc.ru/textonlines/11/07/2022/6216fb4d9a79474dc80e8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nds.rbc.ru/trends/tag/sho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rketingacrossborders.blog/2020/05/23/marketing-in-a-time-of-a-crisis-getting-ready-for-the-reboun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F5j4ncSB4_k2Lg" TargetMode="External"/><Relationship Id="rId19" Type="http://schemas.openxmlformats.org/officeDocument/2006/relationships/hyperlink" Target="https://www.rbc.ru/politics/11/07/2022/62074b119a7947b0e49b36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InZz-GuluCS8ag" TargetMode="External"/><Relationship Id="rId14" Type="http://schemas.openxmlformats.org/officeDocument/2006/relationships/hyperlink" Target="https://disk.yandex.ru/i/4fWIR1GYHh54o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2</cp:revision>
  <dcterms:created xsi:type="dcterms:W3CDTF">2022-07-15T13:58:00Z</dcterms:created>
  <dcterms:modified xsi:type="dcterms:W3CDTF">2022-07-15T13:58:00Z</dcterms:modified>
</cp:coreProperties>
</file>